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VŠEOBECNÉ OBCHODNÍ PODMÍNKY PRO POSKYTOVÁNÍ DOUČOVÁNÍ SPOLEČNOSTÍ</w:t>
      </w:r>
      <w:r w:rsidR="003A2BF6">
        <w:rPr>
          <w:b/>
          <w:color w:val="000000"/>
        </w:rPr>
        <w:t xml:space="preserve"> </w:t>
      </w:r>
      <w:r w:rsidR="003A2BF6" w:rsidRPr="003A2BF6">
        <w:rPr>
          <w:b/>
          <w:color w:val="000000"/>
        </w:rPr>
        <w:t>Akademie doučování Praha s.r.o.</w:t>
      </w:r>
      <w:r w:rsidR="003A2BF6">
        <w:rPr>
          <w:b/>
          <w:color w:val="000000"/>
        </w:rPr>
        <w:t xml:space="preserve">, </w:t>
      </w:r>
      <w:r>
        <w:rPr>
          <w:b/>
          <w:color w:val="000000"/>
        </w:rPr>
        <w:t xml:space="preserve">VYDANÉ V SOULADU S USTANOVENÍM § …………. ZÁKONA Č. 89/2012 Sb., OBČANSKÉHO ZÁKONÍKU 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___________________________________________________________________________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Článek 1. 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Úvodní ustanovení</w:t>
      </w:r>
    </w:p>
    <w:p w:rsidR="004F2E7F" w:rsidRDefault="00713E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Tyto všeobecné obchodní podmínky (dále jen „</w:t>
      </w:r>
      <w:r>
        <w:rPr>
          <w:b/>
          <w:color w:val="000000"/>
        </w:rPr>
        <w:t>VOP</w:t>
      </w:r>
      <w:r>
        <w:rPr>
          <w:color w:val="000000"/>
        </w:rPr>
        <w:t>“) obsahují základní práva a povinnosti smluvních stran při poskytování služeb v podobě doučování žáků základních škol a studentů středních škol (dále jen „</w:t>
      </w:r>
      <w:r>
        <w:rPr>
          <w:b/>
          <w:color w:val="000000"/>
        </w:rPr>
        <w:t>zákazník</w:t>
      </w:r>
      <w:r>
        <w:rPr>
          <w:color w:val="000000"/>
        </w:rPr>
        <w:t>“) ze strany společnosti Ak</w:t>
      </w:r>
      <w:r>
        <w:rPr>
          <w:color w:val="000000"/>
        </w:rPr>
        <w:t>ademie doučování Praha s.r.o., IČ: 06833624, se sídlem Bartoškova 1411/20, Nusle, 140 00 Praha 4 zapsané v obchodním rejstříku vedeném Městským soudem v Praze, oddíl C, vložka 289838 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“). </w:t>
      </w:r>
    </w:p>
    <w:p w:rsidR="004F2E7F" w:rsidRDefault="00713E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Zákazníkem je v konkrétním případě příslušný žák</w:t>
      </w:r>
      <w:r>
        <w:rPr>
          <w:color w:val="000000"/>
        </w:rPr>
        <w:t xml:space="preserve"> nebo student zastoupený zákonným zástupcem, pokud není starší 18</w:t>
      </w:r>
      <w:r>
        <w:rPr>
          <w:color w:val="000000"/>
        </w:rPr>
        <w:t xml:space="preserve"> let, nebo příslušný žák nebo student sám, je-li starší 18</w:t>
      </w:r>
      <w:r>
        <w:rPr>
          <w:color w:val="000000"/>
        </w:rPr>
        <w:t xml:space="preserve"> let. </w:t>
      </w:r>
    </w:p>
    <w:p w:rsidR="004F2E7F" w:rsidRDefault="00713E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Tyto VOP jsou nedílnou součástí přihlášky k individuálnímu doučování (dále jen „</w:t>
      </w:r>
      <w:r>
        <w:rPr>
          <w:b/>
          <w:color w:val="000000"/>
        </w:rPr>
        <w:t>přihláška</w:t>
      </w:r>
      <w:r>
        <w:rPr>
          <w:color w:val="000000"/>
        </w:rPr>
        <w:t>“), která bude mezi dodavatelem a</w:t>
      </w:r>
      <w:r>
        <w:rPr>
          <w:color w:val="000000"/>
        </w:rPr>
        <w:t xml:space="preserve"> zákazníkem sjednána na základě podpisu příslušné písemné přihlášky všemi smluvními stranami. Přihlášku lze měnit vždy jen písemným dodatkem nebo písemnou dohodou všech smluvních stran.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2.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:rsidR="004F2E7F" w:rsidRDefault="00713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na základě přihlášky zavazuje poskytovat zákazníkovi služby v podobě doučování příslušné osoby ve zvoleném předmětu během sjednaného období a ve sjednaném čase a místě podle individuálně sjednaného studijního plánu (dále jen „</w:t>
      </w:r>
      <w:r>
        <w:rPr>
          <w:b/>
          <w:color w:val="000000"/>
        </w:rPr>
        <w:t>výuka</w:t>
      </w:r>
      <w:r>
        <w:rPr>
          <w:color w:val="000000"/>
        </w:rPr>
        <w:t xml:space="preserve">“). </w:t>
      </w:r>
    </w:p>
    <w:p w:rsidR="004F2E7F" w:rsidRDefault="00713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</w:t>
      </w:r>
      <w:r>
        <w:rPr>
          <w:color w:val="000000"/>
        </w:rPr>
        <w:t>k se na základě přihlášky od dodavatele služby v podobě sjednané výuky zavazuje odebrat a za výuku dodavateli řádně hradit sjednané plnění.</w:t>
      </w:r>
    </w:p>
    <w:p w:rsidR="004F2E7F" w:rsidRDefault="00713E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 prohlašuje, že mu byly před sjednáním přihlášky dodavatelem poskytnuty veškeré potřebné předsmluvní informa</w:t>
      </w:r>
      <w:r>
        <w:rPr>
          <w:color w:val="000000"/>
        </w:rPr>
        <w:t>ce důležité pro jeho rozhodnutí přihlášku</w:t>
      </w:r>
      <w:bookmarkStart w:id="0" w:name="_GoBack"/>
      <w:bookmarkEnd w:id="0"/>
      <w:r>
        <w:rPr>
          <w:color w:val="000000"/>
        </w:rPr>
        <w:t xml:space="preserve"> s dodavatelem sjednat. 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3.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Výuka</w:t>
      </w:r>
    </w:p>
    <w:p w:rsidR="004F2E7F" w:rsidRDefault="00713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Jedna vyučovací hodina výuky trvá celkem 60 min.</w:t>
      </w:r>
    </w:p>
    <w:p w:rsidR="004F2E7F" w:rsidRDefault="00713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Výuka příslušné osoby bude probíhat v termínu, intervalech, čase a v místě sjednaných v přihlášce. </w:t>
      </w:r>
    </w:p>
    <w:p w:rsidR="004F2E7F" w:rsidRDefault="00713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Příslušný vyučující je </w:t>
      </w:r>
      <w:r>
        <w:rPr>
          <w:color w:val="000000"/>
        </w:rPr>
        <w:t>určován dodavatelem. Výuka není vázána na konkrétního vyučujícího a dodavatel má právo vyučujícího na základě svého jednostranného rozhodnutí kdykoliv vyměnit, a to i bez souhlasu zákazníka. Toto rozhodnutí dodavatele není důvodem pro reklamaci poskytnutýc</w:t>
      </w:r>
      <w:r>
        <w:rPr>
          <w:color w:val="000000"/>
        </w:rPr>
        <w:t>h služeb ani nedává zákazníkovi právo žádat vrácení úhrady poskytnuté za výuku dodavatelem takto určeným vyučujícím ani její části.</w:t>
      </w:r>
    </w:p>
    <w:p w:rsidR="004F2E7F" w:rsidRDefault="00713E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 se zavazuje, že případný kontakt s vyučujícím bude činit výhradně přes dodavatele, pokud nebude výslovně písemně do</w:t>
      </w:r>
      <w:r>
        <w:rPr>
          <w:color w:val="000000"/>
        </w:rPr>
        <w:t xml:space="preserve">hodnuto jinak. 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4.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Platební podmínky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Ceny za poskytování služeb ze strany dodavatele podle přihlášky jsou stanoveny v ceníku doučovaní, který je k dispozici na webových stránkách dodavatele </w:t>
      </w:r>
      <w:r w:rsidR="00014984" w:rsidRPr="00014984">
        <w:rPr>
          <w:color w:val="000000"/>
        </w:rPr>
        <w:t>www.amatika.cz</w:t>
      </w:r>
      <w:r>
        <w:rPr>
          <w:color w:val="000000"/>
        </w:rPr>
        <w:t xml:space="preserve"> a který tvoří nedílnou součást těchto VOP jako příloha č. 1. 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Zákazník hradí dodavateli za poskytování služeb úhradu bezhotovostně, a to na jeho bankovní účet </w:t>
      </w:r>
      <w:proofErr w:type="spellStart"/>
      <w:r w:rsidRPr="00014984">
        <w:rPr>
          <w:color w:val="000000"/>
        </w:rPr>
        <w:t>č.ú</w:t>
      </w:r>
      <w:proofErr w:type="spellEnd"/>
      <w:r w:rsidRPr="00014984">
        <w:rPr>
          <w:color w:val="000000"/>
        </w:rPr>
        <w:t>.:</w:t>
      </w:r>
      <w:r w:rsidR="00014984">
        <w:rPr>
          <w:color w:val="000000"/>
        </w:rPr>
        <w:t xml:space="preserve"> 2401385115/2010 </w:t>
      </w:r>
      <w:r w:rsidRPr="00014984">
        <w:rPr>
          <w:color w:val="000000"/>
        </w:rPr>
        <w:t xml:space="preserve">vedený u </w:t>
      </w:r>
      <w:proofErr w:type="spellStart"/>
      <w:r w:rsidR="00014984">
        <w:rPr>
          <w:color w:val="000000"/>
        </w:rPr>
        <w:t>Fio</w:t>
      </w:r>
      <w:proofErr w:type="spellEnd"/>
      <w:r w:rsidR="00014984">
        <w:rPr>
          <w:color w:val="000000"/>
        </w:rPr>
        <w:t xml:space="preserve"> banky. </w:t>
      </w:r>
      <w:r>
        <w:rPr>
          <w:color w:val="000000"/>
        </w:rPr>
        <w:t>Příslušný variabilní symbol pro úhradu je stanoven v přihlášce</w:t>
      </w:r>
      <w:r>
        <w:rPr>
          <w:color w:val="000000"/>
        </w:rPr>
        <w:t>.  Do avíza pro příjemce v rámci bankovního převodu zákazník uvede jméno žáka, kterého se úhrada týká.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Úhradu za první kalendářní měsíc poskytování služeb je zákazník povinen uhradit dodavateli na shora uvedený bankovní účet do </w:t>
      </w:r>
      <w:r w:rsidR="00014984">
        <w:rPr>
          <w:color w:val="000000"/>
        </w:rPr>
        <w:t xml:space="preserve">5 </w:t>
      </w:r>
      <w:r>
        <w:rPr>
          <w:color w:val="000000"/>
        </w:rPr>
        <w:t xml:space="preserve">pracovních dní od podpisu přihlášky. Až úhradou této částky za první kalendářní měsíc poskytování služeb na účet dodavatele nabývá přihláška účinnosti. 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Úhradu příslušného paušálu v dalších kalendářních měsících je zákazník povinen uhradit dodavateli před</w:t>
      </w:r>
      <w:r>
        <w:rPr>
          <w:color w:val="000000"/>
        </w:rPr>
        <w:t xml:space="preserve">em na shora uvedený bankovní účet, a to nejpozději do </w:t>
      </w:r>
      <w:r w:rsidR="00014984">
        <w:rPr>
          <w:color w:val="000000"/>
        </w:rPr>
        <w:t>1.</w:t>
      </w:r>
      <w:r>
        <w:rPr>
          <w:color w:val="000000"/>
        </w:rPr>
        <w:t xml:space="preserve"> dne v měsíci,</w:t>
      </w:r>
      <w:r w:rsidR="00014984">
        <w:rPr>
          <w:color w:val="000000"/>
        </w:rPr>
        <w:t xml:space="preserve"> </w:t>
      </w:r>
      <w:r>
        <w:rPr>
          <w:color w:val="000000"/>
        </w:rPr>
        <w:t xml:space="preserve">za který je úhrada činěna, pokud ve smlouvě nebude sjednáno jinak. 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Úhradou se rozumí připsání příslušné částky pod příslušným VS na bankovní účet </w:t>
      </w:r>
      <w:r>
        <w:rPr>
          <w:color w:val="000000"/>
        </w:rPr>
        <w:t xml:space="preserve">dodavatele. </w:t>
      </w:r>
    </w:p>
    <w:p w:rsidR="004F2E7F" w:rsidRDefault="00713E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 případě prodlení zákazníka s úhradou stanovené částky, bude vyrozuměn SMS o neprovedení platby. Pokud nebude úhrada provedena ani v termínu stanoveném v SMS (nejpozději do </w:t>
      </w:r>
      <w:r w:rsidR="00014984">
        <w:rPr>
          <w:color w:val="000000"/>
        </w:rPr>
        <w:t>20</w:t>
      </w:r>
      <w:r>
        <w:rPr>
          <w:color w:val="000000"/>
        </w:rPr>
        <w:t>. dne v měsíci), bude zákazníkovi zaslána písemná výzva k úhradě, kdy tato písemn</w:t>
      </w:r>
      <w:r>
        <w:rPr>
          <w:color w:val="000000"/>
        </w:rPr>
        <w:t>á upomínka bude zpoplatněna částkou 200 Kč (k této částce může být účtováno DPH v zákonem stanovené výši).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Článek 5. 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Práva a povinnosti smluvních stran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poskytovat služby v podobě výuky individuálně přizpůsobené potřebám doučované os</w:t>
      </w:r>
      <w:r>
        <w:rPr>
          <w:color w:val="000000"/>
        </w:rPr>
        <w:t xml:space="preserve">oby v příslušném předmětu, v rozsahu, místě a termínu podle přihlášky za ceny podle ceníku, který tvoří jako nedílná součást těchto VOP jejich přílohu č. 1. 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 případě, že nebude možné výuku pro zákazníka ze závažných důvodů ve sjednaný termín zrealizovat </w:t>
      </w:r>
      <w:r>
        <w:rPr>
          <w:color w:val="000000"/>
        </w:rPr>
        <w:t>(zejména nemoc nebo jiná nepředvídatelná indispozice vyučujícího, zásah vyšší moci), je dodavatel oprávněn stanovit náhradní termín výuky, který zákazníkovi sdělí prostřednictvím e-mailu a telefonu uvedených na smlouvě s dostatečným předstihem.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j</w:t>
      </w:r>
      <w:r>
        <w:rPr>
          <w:color w:val="000000"/>
        </w:rPr>
        <w:t>e oprávněn ze vážných důvodů jednostranně zrušit celou výuku sjednanou ve smlouvě i v jejím průběhu, a to písemnou výpovědí smlouvy bez výpovědní doby. V tom případě zákazníkovi vrátí zpět příslušnou část uhrazené platby za neodučené předplacené hodiny výu</w:t>
      </w:r>
      <w:r>
        <w:rPr>
          <w:color w:val="000000"/>
        </w:rPr>
        <w:t>ky, která se v důsledku zrušení výuky neuskuteční. Výpověď bez výpovědní doby je účinná okamžikem jejího doručení zákazníkovi.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 případě, že zákazník zruší výuku nejpozději 24 hodin před jejím počátkem, bude mu dodavatelem nabídnut náhradní termín výuky a </w:t>
      </w:r>
      <w:r>
        <w:rPr>
          <w:color w:val="000000"/>
        </w:rPr>
        <w:t>úhrada za tuto výuku dodavateli již zákazníkem uhrazená bude využita na tento náhradní termín výuky.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případě, že se doučovaná osoba na výuku bez omluvy nedostaví a/nebo svou účast na výuce zruší později než 24 hodin před jejím začátkem, nemá zákazník prá</w:t>
      </w:r>
      <w:r>
        <w:rPr>
          <w:color w:val="000000"/>
        </w:rPr>
        <w:t>vo na náhradní termín výuky, na přesouvání úhrady za tuto nevyužitou výuku na výuku v jiném termínu ani na vrácení příslušné úhrady za takovou neuskutečněnou výuku.</w:t>
      </w:r>
    </w:p>
    <w:p w:rsidR="004F2E7F" w:rsidRDefault="00713E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Hodiny vyučování nevyužité zákazníkem v příslušném kalendářním měsíci za podmínek stanovený</w:t>
      </w:r>
      <w:r>
        <w:rPr>
          <w:color w:val="000000"/>
        </w:rPr>
        <w:t>ch shora budou po dohodě smluvních stran dodavatelem převedeny do kalendářního měsíce následujícího, pokud VOP nestanoví jinak nebo pokud nebude písemně stranami smlouvy sjednáno jinak.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6.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Reklamace služeb</w:t>
      </w:r>
    </w:p>
    <w:p w:rsidR="004F2E7F" w:rsidRDefault="00713E4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V případě, že zákazník nebyl spokojen s kvalitou výuky, je oprávněn u dodavatele uplatnit reklamaci poskytnutých služeb podle příslušných právních předpisů. Poskytnutou službu se rozumí provedená výuka.</w:t>
      </w:r>
    </w:p>
    <w:p w:rsidR="004F2E7F" w:rsidRDefault="00713E4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rámci své reklamace je zákazník povinen uvést zejmé</w:t>
      </w:r>
      <w:r>
        <w:rPr>
          <w:color w:val="000000"/>
        </w:rPr>
        <w:t>na:</w:t>
      </w:r>
    </w:p>
    <w:p w:rsidR="004F2E7F" w:rsidRDefault="00713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své jméno a příjmení a jméno a příjmení doučované osoby, pokud se liší od osoby uplatňující reklamaci, </w:t>
      </w:r>
    </w:p>
    <w:p w:rsidR="004F2E7F" w:rsidRDefault="00713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identifikaci smlouvy,</w:t>
      </w:r>
    </w:p>
    <w:p w:rsidR="004F2E7F" w:rsidRDefault="00713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identifikaci poskytnuté služby,</w:t>
      </w:r>
    </w:p>
    <w:p w:rsidR="004F2E7F" w:rsidRDefault="00713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označení a popis vady, popis jejího projevu a informaci o případné četnosti jejího výskytu, </w:t>
      </w:r>
    </w:p>
    <w:p w:rsidR="004F2E7F" w:rsidRDefault="00713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>obu a způsob zjištění vady.</w:t>
      </w:r>
    </w:p>
    <w:p w:rsidR="004F2E7F" w:rsidRDefault="00713E4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Zákazník je oprávněn reklamaci uplatnit písemně a/nebo elektronicky. Dodavatel reklamaci vyřídí do 30 dní ode dne jejího obdržení. O výsledku reklamace dodavatel zákazníka vyrozumí elektronicky. </w:t>
      </w:r>
      <w:r w:rsidRPr="00014984">
        <w:rPr>
          <w:color w:val="000000"/>
        </w:rPr>
        <w:t xml:space="preserve">Pokud bude reklamace dodavatelem </w:t>
      </w:r>
      <w:r w:rsidRPr="00014984">
        <w:rPr>
          <w:color w:val="000000"/>
        </w:rPr>
        <w:t>shledána jako oprávněná, poskytne dodavatel zákazníkovi podle jeho volby buď náhradní výuku zdarma nebo výměnu lektora.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7.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Zpracování osobních údajů </w:t>
      </w:r>
    </w:p>
    <w:p w:rsidR="004F2E7F" w:rsidRDefault="00713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 souhlasí s tím, že v rámci sjednání přihlášky zákazník poskytne dodavateli své osobní údaje v rozsahu podle textu přihlášky. Zákazník sjednáním přihlášky stvrzuje, že jím poskytnuté osobní údaje jsou přesné, aktuální a pravdivé. Dále zákazník sjed</w:t>
      </w:r>
      <w:r>
        <w:rPr>
          <w:color w:val="000000"/>
        </w:rPr>
        <w:t>náním přihlášky potvrzuje, že souhlasí se zpracováním svých osobních údajů ze strany dodavatele a s jejich použitím pro účely komunikace zákazníka s dodavatelem, a to na dobu neurčitou. Zákazník sjednáním přihlášky zároveň vyslovuje souhlas s předáním svéh</w:t>
      </w:r>
      <w:r>
        <w:rPr>
          <w:color w:val="000000"/>
        </w:rPr>
        <w:t>o jména, telefonního čísla a emailové adresy lektorovi, který povede jeho výuku.</w:t>
      </w:r>
    </w:p>
    <w:p w:rsidR="004F2E7F" w:rsidRDefault="00713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Poskytnutí osobních údajů je dobrovolné. Zákazník má právo přístupu ke svým osobním údajům, má právo souhlas s jejich použitím kdykoliv odvolat. V případě porušení svých práv </w:t>
      </w:r>
      <w:r>
        <w:rPr>
          <w:color w:val="000000"/>
        </w:rPr>
        <w:t>má právo se v této souvislosti obrátit na Úřad pro ochranu osobních údajů.</w:t>
      </w:r>
    </w:p>
    <w:p w:rsidR="004F2E7F" w:rsidRDefault="00713E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bude s osobními údaji zákazníka nakládat v souladu se zákonem č. 101/2000 Sb., o ochraně osobních údajů, v platném znění.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8.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Další ustanovení</w:t>
      </w:r>
    </w:p>
    <w:p w:rsidR="004F2E7F" w:rsidRDefault="00713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Smluvní strany jsou oprávněny od sjednané přihlášky odstoupit z důvodů stanovených občanským zákoníkem.</w:t>
      </w:r>
    </w:p>
    <w:p w:rsidR="004F2E7F" w:rsidRDefault="00713E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je oprávněn od přihlášky odstoupit zejména z následujících důvodů:</w:t>
      </w:r>
    </w:p>
    <w:p w:rsidR="004F2E7F" w:rsidRDefault="00713E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zákazník podstatným způsobem poruší sjednanou přihlášku a/nebo VOP a/nebo právní předpisy,</w:t>
      </w:r>
    </w:p>
    <w:p w:rsidR="004F2E7F" w:rsidRDefault="00713E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zákazník je v prodlení s platbou úhrady dodavateli po dobu delší než </w:t>
      </w:r>
      <w:r w:rsidR="00014984">
        <w:rPr>
          <w:color w:val="000000"/>
        </w:rPr>
        <w:t>25</w:t>
      </w:r>
      <w:r>
        <w:rPr>
          <w:color w:val="000000"/>
        </w:rPr>
        <w:t xml:space="preserve"> dní,</w:t>
      </w:r>
    </w:p>
    <w:p w:rsidR="004F2E7F" w:rsidRDefault="00713E4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 sám přímo kontaktuje vyučujícího za účelem sjednání výuky bez předchozího písem</w:t>
      </w:r>
      <w:r>
        <w:rPr>
          <w:color w:val="000000"/>
        </w:rPr>
        <w:t>ného souhlasu dodavatele.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Článek 9.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Změny všeobecných obchodních podmínek</w:t>
      </w:r>
    </w:p>
    <w:p w:rsidR="004F2E7F" w:rsidRDefault="00713E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Tyto VOP jsou nedílnou součástí přihlášky. Pokud není v příslušné přihlášce ujednáno jinak, platí pro vzájemné vztahy smluvních stran tyto VOP. VOP ze strany dodavatele jsou vydávány elektronicky a jsou neomezeně přístupné na</w:t>
      </w:r>
      <w:r w:rsidR="00014984" w:rsidRPr="00014984">
        <w:rPr>
          <w:color w:val="000000"/>
        </w:rPr>
        <w:t xml:space="preserve"> www.amatika.cz</w:t>
      </w:r>
      <w:r>
        <w:rPr>
          <w:color w:val="000000"/>
        </w:rPr>
        <w:t>. Zákazník podpisem</w:t>
      </w:r>
      <w:r>
        <w:rPr>
          <w:color w:val="000000"/>
        </w:rPr>
        <w:t xml:space="preserve"> smlouvy prohlašuje, že se s těmito VOP před sjednáním přihlášky dostatečně seznámil, že je jako nedílnou součást přihlášky přijímá a že jejich obsah považuje za určitý a srozumitelný.</w:t>
      </w:r>
    </w:p>
    <w:p w:rsidR="004F2E7F" w:rsidRDefault="00713E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je oprávněn tyto VOP nebo kteroukoliv jejich přílohu, pokud t</w:t>
      </w:r>
      <w:r>
        <w:rPr>
          <w:color w:val="000000"/>
        </w:rPr>
        <w:t>akové přílohy existují, jednostranně měnit v přiměřeném rozsahu, a to zejména z důvodů změny právních předpisů, z důvodů změny, omezení nebo rozšíření služeb dodavatele, z důvodu změny nebo rozvoje technologií atd.</w:t>
      </w:r>
    </w:p>
    <w:p w:rsidR="004F2E7F" w:rsidRDefault="00713E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případě, že dodavatel provede změny VOP</w:t>
      </w:r>
      <w:r>
        <w:rPr>
          <w:color w:val="000000"/>
        </w:rPr>
        <w:t xml:space="preserve">, je povinen tuto změnu zákazníkovi oznámit alespoň 14 dní před nabytím účinnosti nového znění VOP. Učiní tak oznámením na svých webových stránkách </w:t>
      </w:r>
      <w:r w:rsidR="00014984" w:rsidRPr="00014984">
        <w:rPr>
          <w:color w:val="000000"/>
        </w:rPr>
        <w:t xml:space="preserve">www.amatika.cz </w:t>
      </w:r>
      <w:r>
        <w:rPr>
          <w:color w:val="000000"/>
        </w:rPr>
        <w:t xml:space="preserve">a odesláním informace o plánové změně VOP na příslušnou e-mailovou adresu zákazníka s uvedením, </w:t>
      </w:r>
      <w:r>
        <w:rPr>
          <w:color w:val="000000"/>
        </w:rPr>
        <w:t>od kdy nové znění VOP nabude účinnosti. Součástí takového oznámení bude i informace o tom, kde je nové znění VOP zákazníkovi k dispozici, a o tom, že zákazník má možnost změny VOP odmítnout a sjednanou přihlášku z toho důvodu vypovědět, jak uvedeno v odst.</w:t>
      </w:r>
      <w:r>
        <w:rPr>
          <w:color w:val="000000"/>
        </w:rPr>
        <w:t xml:space="preserve"> 4 tohoto článku níže. </w:t>
      </w:r>
    </w:p>
    <w:p w:rsidR="004F2E7F" w:rsidRDefault="00713E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Zákazník bude oprávněn změny VOP odmítnout a sjednanou přihlášku z tohoto důvodu vypovědět, a to do 10 dní ode dne obdržení informace o plánové změně VOP od dodavatele. Výpověď musí být učiněna písemně a musí být zaslána na adresu s</w:t>
      </w:r>
      <w:r>
        <w:rPr>
          <w:color w:val="000000"/>
        </w:rPr>
        <w:t xml:space="preserve">ídla dodavatele nebo na příslušnou e-mailovou adresu dodavatele. Výpovědní doba činí 15 dní a začíná běžet ode dne následujícího po doručení výpovědi dodavateli. Pokud zákazník nové znění VOP neodmítne v uvedené </w:t>
      </w:r>
      <w:proofErr w:type="gramStart"/>
      <w:r>
        <w:rPr>
          <w:color w:val="000000"/>
        </w:rPr>
        <w:t>lhůtě</w:t>
      </w:r>
      <w:proofErr w:type="gramEnd"/>
      <w:r>
        <w:rPr>
          <w:color w:val="000000"/>
        </w:rPr>
        <w:t xml:space="preserve"> jak uvedeno shora, má se za to, že nov</w:t>
      </w:r>
      <w:r>
        <w:rPr>
          <w:color w:val="000000"/>
        </w:rPr>
        <w:t>é znění VOP akceptoval.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Článek 10.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ustanovení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Smluví strany budou vzájemnou komunikaci týkající se smlouvy a VOP zasílat na v přihlášce uvedené adresy určené pro doručování.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Změnu údajů smluvních stran uvedených v záhlaví příslušné přihlášky je smluvní strana, které se změna týká, povinna písemně oznámit druhé straně do </w:t>
      </w:r>
      <w:proofErr w:type="gramStart"/>
      <w:r>
        <w:rPr>
          <w:color w:val="000000"/>
        </w:rPr>
        <w:t>5ti</w:t>
      </w:r>
      <w:proofErr w:type="gramEnd"/>
      <w:r>
        <w:rPr>
          <w:color w:val="000000"/>
        </w:rPr>
        <w:t xml:space="preserve"> pracovních dní.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 úkony smluvních stran smlouvy učiněné v písemné formě se pro účely těchto VOP a přihl</w:t>
      </w:r>
      <w:r>
        <w:rPr>
          <w:color w:val="000000"/>
        </w:rPr>
        <w:t>ášky považuje i elektronická pošta.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Přihláška a tyto VOP a vztahy smluvních stran z nich plynoucí se řídí právním řádem České republiky, zejména občanským zákoníkem.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případě, že některé ustanovení těchto VOP nebo přihlášky bude z jakéhokoliv důvodu nepla</w:t>
      </w:r>
      <w:r>
        <w:rPr>
          <w:color w:val="000000"/>
        </w:rPr>
        <w:t>tné nebo neúčinné, nezpůsobuje taková skutečnost neplatnost nebo neúčinnost ostatních částí VOP nebo smlouvy.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Nedílnou součástí těchto VOP je: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Příloha č. 1</w:t>
      </w:r>
      <w:r>
        <w:rPr>
          <w:color w:val="000000"/>
        </w:rPr>
        <w:tab/>
        <w:t>ceník služeb dodavatele</w:t>
      </w:r>
    </w:p>
    <w:p w:rsidR="004F2E7F" w:rsidRDefault="00713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Tyto VOP nabývají účinnosti </w:t>
      </w:r>
      <w:r w:rsidRPr="00014984">
        <w:rPr>
          <w:color w:val="000000"/>
        </w:rPr>
        <w:t xml:space="preserve">dnem </w:t>
      </w:r>
      <w:r w:rsidR="00014984">
        <w:rPr>
          <w:color w:val="000000"/>
        </w:rPr>
        <w:t>1.10.</w:t>
      </w:r>
      <w:r w:rsidRPr="00014984">
        <w:rPr>
          <w:color w:val="000000"/>
        </w:rPr>
        <w:t>2018.</w:t>
      </w:r>
      <w:r>
        <w:rPr>
          <w:color w:val="000000"/>
        </w:rPr>
        <w:t xml:space="preserve"> 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Akademie doučování Praha s.r.o.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Alexandr </w:t>
      </w:r>
      <w:proofErr w:type="spellStart"/>
      <w:r>
        <w:rPr>
          <w:color w:val="000000"/>
        </w:rPr>
        <w:t>Fenčak</w:t>
      </w:r>
      <w:proofErr w:type="spellEnd"/>
      <w:r>
        <w:rPr>
          <w:color w:val="000000"/>
        </w:rPr>
        <w:t>, jednatel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Příloha č. 1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Všeobecných obchodních podmínek pro poskytování doučování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společností Akademie doučování Praha </w:t>
      </w:r>
      <w:proofErr w:type="spellStart"/>
      <w:r>
        <w:rPr>
          <w:b/>
          <w:color w:val="000000"/>
        </w:rPr>
        <w:t>s.r.o</w:t>
      </w:r>
      <w:proofErr w:type="spellEnd"/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stanovuje cenu za doučování měsíčním paušálem takto: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 hodina (60 min) / týden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1.300 Kč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 hodiny (120 min) / týden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</w:t>
      </w:r>
      <w:r w:rsidR="00014984">
        <w:rPr>
          <w:color w:val="000000"/>
        </w:rPr>
        <w:t>6</w:t>
      </w:r>
      <w:r>
        <w:rPr>
          <w:color w:val="000000"/>
        </w:rPr>
        <w:t>00 Kč</w:t>
      </w:r>
    </w:p>
    <w:p w:rsidR="00014984" w:rsidRDefault="0001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 hodiny (190 min) / týden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3.900 Kč</w:t>
      </w:r>
    </w:p>
    <w:p w:rsidR="00014984" w:rsidRDefault="00014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 hodiny (240 min) / týden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2118F">
        <w:rPr>
          <w:color w:val="000000"/>
        </w:rPr>
        <w:t>5.200 Kč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Tato příloha č. 1 VOP nabývá účinnosti </w:t>
      </w:r>
      <w:r w:rsidRPr="0022118F">
        <w:rPr>
          <w:color w:val="000000"/>
        </w:rPr>
        <w:t xml:space="preserve">dnem </w:t>
      </w:r>
      <w:r w:rsidR="0022118F">
        <w:rPr>
          <w:color w:val="000000"/>
        </w:rPr>
        <w:t>1.10.</w:t>
      </w:r>
      <w:r w:rsidRPr="0022118F">
        <w:rPr>
          <w:color w:val="000000"/>
        </w:rPr>
        <w:t xml:space="preserve"> 2018.</w:t>
      </w:r>
      <w:r>
        <w:rPr>
          <w:color w:val="000000"/>
        </w:rPr>
        <w:t xml:space="preserve"> 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Akademie doučování Praha s.r.o.</w:t>
      </w:r>
    </w:p>
    <w:p w:rsidR="004F2E7F" w:rsidRDefault="00713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Alexandr </w:t>
      </w:r>
      <w:proofErr w:type="spellStart"/>
      <w:r>
        <w:rPr>
          <w:color w:val="000000"/>
        </w:rPr>
        <w:t>Fenčak</w:t>
      </w:r>
      <w:proofErr w:type="spellEnd"/>
      <w:r>
        <w:rPr>
          <w:color w:val="000000"/>
        </w:rPr>
        <w:t>, jednatel</w:t>
      </w:r>
    </w:p>
    <w:p w:rsidR="004F2E7F" w:rsidRDefault="004F2E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4F2E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43" w:rsidRDefault="00713E43">
      <w:pPr>
        <w:spacing w:line="240" w:lineRule="auto"/>
        <w:ind w:left="0" w:hanging="2"/>
      </w:pPr>
      <w:r>
        <w:separator/>
      </w:r>
    </w:p>
  </w:endnote>
  <w:endnote w:type="continuationSeparator" w:id="0">
    <w:p w:rsidR="00713E43" w:rsidRDefault="00713E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7F" w:rsidRDefault="00713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2E7F" w:rsidRDefault="004F2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7F" w:rsidRDefault="00713E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4984">
      <w:rPr>
        <w:color w:val="000000"/>
      </w:rPr>
      <w:fldChar w:fldCharType="separate"/>
    </w:r>
    <w:r w:rsidR="00014984">
      <w:rPr>
        <w:noProof/>
        <w:color w:val="000000"/>
      </w:rPr>
      <w:t>1</w:t>
    </w:r>
    <w:r>
      <w:rPr>
        <w:color w:val="000000"/>
      </w:rPr>
      <w:fldChar w:fldCharType="end"/>
    </w:r>
  </w:p>
  <w:p w:rsidR="004F2E7F" w:rsidRDefault="004F2E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43" w:rsidRDefault="00713E43">
      <w:pPr>
        <w:spacing w:line="240" w:lineRule="auto"/>
        <w:ind w:left="0" w:hanging="2"/>
      </w:pPr>
      <w:r>
        <w:separator/>
      </w:r>
    </w:p>
  </w:footnote>
  <w:footnote w:type="continuationSeparator" w:id="0">
    <w:p w:rsidR="00713E43" w:rsidRDefault="00713E4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C55"/>
    <w:multiLevelType w:val="multilevel"/>
    <w:tmpl w:val="C5DE7B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F429E"/>
    <w:multiLevelType w:val="multilevel"/>
    <w:tmpl w:val="DB443FA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E2E7137"/>
    <w:multiLevelType w:val="multilevel"/>
    <w:tmpl w:val="2EB8C40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2ACC1185"/>
    <w:multiLevelType w:val="multilevel"/>
    <w:tmpl w:val="8534AEA0"/>
    <w:lvl w:ilvl="0">
      <w:start w:val="1"/>
      <w:numFmt w:val="decimal"/>
      <w:lvlText w:val="%1."/>
      <w:lvlJc w:val="left"/>
      <w:pPr>
        <w:ind w:left="14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2DA125A7"/>
    <w:multiLevelType w:val="multilevel"/>
    <w:tmpl w:val="719E2E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DD97BAF"/>
    <w:multiLevelType w:val="multilevel"/>
    <w:tmpl w:val="5FBADFE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4FDD0659"/>
    <w:multiLevelType w:val="multilevel"/>
    <w:tmpl w:val="7B5872D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B25AB9"/>
    <w:multiLevelType w:val="multilevel"/>
    <w:tmpl w:val="71D43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66627C4F"/>
    <w:multiLevelType w:val="multilevel"/>
    <w:tmpl w:val="7D8864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C50194F"/>
    <w:multiLevelType w:val="multilevel"/>
    <w:tmpl w:val="1E4CA28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A765C7E"/>
    <w:multiLevelType w:val="multilevel"/>
    <w:tmpl w:val="4FDC0EB2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7F"/>
    <w:rsid w:val="00014984"/>
    <w:rsid w:val="0022118F"/>
    <w:rsid w:val="003A2BF6"/>
    <w:rsid w:val="004F2E7F"/>
    <w:rsid w:val="007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74AE"/>
  <w15:docId w15:val="{3BC1E7A1-64E2-4EB1-97B1-ED302C5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1498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Romana Hythova</cp:lastModifiedBy>
  <cp:revision>3</cp:revision>
  <dcterms:created xsi:type="dcterms:W3CDTF">2018-10-01T09:40:00Z</dcterms:created>
  <dcterms:modified xsi:type="dcterms:W3CDTF">2018-10-01T09:46:00Z</dcterms:modified>
</cp:coreProperties>
</file>